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rFonts w:ascii="微软雅黑" w:cs="微软雅黑" w:eastAsia="微软雅黑" w:hAnsi="微软雅黑"/>
          <w:b/>
          <w:bCs/>
          <w:sz w:val="56"/>
          <w:szCs w:val="56"/>
        </w:rPr>
        <w:t xml:space="preserve">寄卖订单管理（wa_order）</w:t>
      </w:r>
    </w:p>
    <w:p>
      <w:pPr>
        <w:spacing w:after="240" w:before="60"/>
        <w:jc w:val="center"/>
      </w:pPr>
      <w:r>
        <w:rPr>
          <w:rFonts w:ascii="微软雅黑" w:cs="微软雅黑" w:eastAsia="微软雅黑" w:hAnsi="微软雅黑"/>
          <w:b/>
          <w:bCs/>
          <w:sz w:val="40"/>
          <w:szCs w:val="40"/>
        </w:rPr>
        <w:t xml:space="preserve">开发说明文档</w:t>
      </w:r>
    </w:p>
    <w:p>
      <w:pPr>
        <w:spacing w:after="80" w:before="80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所属项目：single-shop-22 / backend-adminend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部署形态：外部免认证页面（/integral-external/wa-order）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后端接口：/api/external/integral/wa-order/*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参考实现：integral-external/order/index.vue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文档版本 v2.0    日期 2026-05-02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一、项目背景与目标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本文档面向后台管理端外部免认证体系，描述「寄卖订单管理」页面的完整开发方案。寄卖订单（wa_order）是商品寄卖服务的核心数据，记录买家与卖家在抢购、转拍、支付、收货等阶段的全部信息。本次开发以已有的 integral-external/order/index.vue 作为模板，沿用其搜索区 + 分页表格的整体布局，并补齐：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展示一条订单从抢购到完成的全部时间链路（抢购、转拍、支付、确认收货等）。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表头字段可由用户自定义勾选，所选偏好持久化到 localStorage。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点击「详情」时以右侧抽屉（el-drawer）形式弹出，展示完整订单信息，不离开列表上下文。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支持按订单状态、时间维度、买家、卖家等条件筛选完成订单数据。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该页面与已有 integral-external 页面共用 EmptyLayout、requestNoAuth、permitAll 配置；不依赖登录态、不使用权限指令。生产部署需补充 IP 白名单 / 共享密钥（详见第十一章）。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二、模块定位与命名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460"/>
        <w:gridCol w:w="440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项目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取值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前端路由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/integral-external/wa-order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挂载在 integralExternal 路由组下（hidden:true）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前端组件 name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IntegralExternalWaOrder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与 integralExternal* 命名规则一致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前端文件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src/views/integral-external/wa-order/index.vue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列表与抽屉详情整合在同一文件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前端布局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EmptyLayout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无侧栏 / 无头部导航 / 无登录态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src/api/integralExternal.js（追加方法）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统一使用 requestNoAuth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Controller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ExternalIntegralController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已存在，本次追加方法；不使用 @PreAuthorize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URL 前缀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/api/external/integral/wa-order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复用 ExternalIntegralController 的根路径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Service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复用 WaOrderAdminService（仅读路径）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直接调用 getAdminList / getDetailById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Spring Security</w:t>
            </w:r>
          </w:p>
        </w:tc>
        <w:tc>
          <w:tcPr>
            <w:tcW w:type="dxa" w:w="3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WebSecurityConfig L152 已通配 /api/external/integral/** permitAll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无需改动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三、数据模型梳理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3.1 wa_order 字段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表 wa_order 由 com.zbkj.common.model.consignment.WaOrder 映射：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5560"/>
      </w:tblGrid>
      <w:tr>
        <w:trPr>
          <w:tblHeader/>
        </w:trP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字段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类型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主键 ID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oldId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从订单转拍过来的原订单 ID（仅转拍单存在）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sellerId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卖家用户 ID；0 表示「平台」自营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buyerId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买家用户 ID（关联 wa_users.id）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orderSn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订单编号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totalMoney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BigDecimal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订单总金额（实付金额）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payTime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支付时间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payImg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支付凭证图片 URL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订单状态：0=待付款，1=已支付，2=已完成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isResell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是否转拍：0=否，1=是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isShow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是否显示：0=隐藏，1=显示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isCancel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是否取消：0=否，1=是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consignee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收货人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phone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收货电话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province / city / area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省 / 市 / 区县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address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详细地址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merchandiseId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关联 wa_merchandise.id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confirmTime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确认收货时间（订单完成时间）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buyTime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抢购下单时间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buyIp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下单 IP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cancelIp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取消订单 IP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createdAt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创建时间（自动填充）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updatedAt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Date</w:t>
            </w:r>
          </w:p>
        </w:tc>
        <w:tc>
          <w:tcPr>
            <w:tcW w:type="dxa" w:w="5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更新时间（自动填充）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3.2 关联表 wa_merchandise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订单中的商品信息通过 merchandiseId 关联 wa_merchandise。详情抽屉需要呈现：商品标题（title）、商品图片（image）、寄售价格（price）、商品状态（status：0=已售 / 1=未售）、原订单 ID（oldId）、卖家用户 ID（userId）。详情接口 WaOrderDetailResponse 已经返回 merchandiseTitle / merchandiseImage 字段。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3.3 关联表 wa_users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买家、卖家信息来自 wa_users，关键字段：id、nickname、username、mobile、avatar。Service 已通过 BeanUtils 拷贝并补充 sellerName / buyerName；卖家 ID 为 0 时显示为「平台」。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3.4 时间字段语义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400"/>
        <w:gridCol w:w="5060"/>
      </w:tblGrid>
      <w:tr>
        <w:trPr>
          <w:tblHeader/>
        </w:trP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阶段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字段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抢购下单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buyTime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前台抢购成功时写入；列表默认排序键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转拍生成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createdAt（isResell=1 时）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isResell=1 时表示由转拍生成，oldId 指向原订单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支付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payTime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买家完成支付后写入；status 由 0→1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确认收货 / 完成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confirmTime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买家确认收货后写入；status 由 1→2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取消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updatedAt（isCancel=1 时）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取消 IP 写入 cancelIp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四、后端接口契约（免认证）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4.1 接口列表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方法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/api/external/integral/wa-order/list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订单分页列表（参数同 WaOrderSearchRequest）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/api/external/integral/wa-order/info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订单详情（参数 id）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两个接口都不带 @PreAuthorize；与同 Controller 内的现有免认证接口保持一致。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4.2 列表参数（WaOrderSearchRequest + PageParamRequest）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000"/>
        <w:gridCol w:w="5060"/>
      </w:tblGrid>
      <w:tr>
        <w:trPr>
          <w:tblHeader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参数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类型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orderSn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订单号模糊匹配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sellerId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卖家 ID 精确匹配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buyerId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 ID 精确匹配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status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0=待付款，1=已支付，2=已完成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isResell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是否转拍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isCancel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是否取消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isShow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是否显示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buyTimeStart / buyTimeEnd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抢购时间区间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confirmTimeStart / confirmTimeEnd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确认收货时间区间</w:t>
            </w:r>
          </w:p>
        </w:tc>
      </w:tr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page / limit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5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 page=1、limit=15；limit 上限 100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返回结构：CommonPage&lt;WaOrderResponse&gt;，含 sellerName、buyerName 等附加字段。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4.3 Controller 示例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@ApiOperation(value = "寄卖订单分页列表（免认证）")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@GetMapping("/wa-order/list")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public CommonResult&lt;CommonPage&lt;WaOrderResponse&gt;&gt; waOrderList(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@Validated WaOrderSearchRequest request,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@Validated PageParamRequest pageParamRequest)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return CommonResult.success(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CommonPage.restPage(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waOrderAdminService.getAdminList(request, pageParamRequest)));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@ApiOperation(value = "寄卖订单详情（免认证）")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@GetMapping("/wa-order/info")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public CommonResult&lt;WaOrderResponse&gt; waOrderInfo(@RequestParam Integer id)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return CommonResult.success(waOrderAdminService.getDetailById(id));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4.4 Service 注入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ExternalIntegralController 增加 @Autowired WaOrderAdminService；该 Service 已存在，实现列表 / 详情 / 更新；本接口仅调用读方法。Service 内部不需感知调用来源。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五、前端 API 封装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src/api/integralExternal.js 末尾追加：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/**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 寄卖订单 列表（免认证）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*/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export function getExternalWaOrderList(params)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requestNoAuth({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url: 'external/integral/wa-order/list',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method: 'get',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params,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/**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 寄卖订单 详情（免认证）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*/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export function getExternalWaOrderInfo(id)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requestNoAuth({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url: 'external/integral/wa-order/info',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method: 'get',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params: { id },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注意：路径不含前导斜杠，由 requestNoAuth.baseURL（SettingMer.apiBaseURL）统一拼接。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六、前端路由配置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src/router/modules/integralExternal.js 的 children 数组中追加：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path: 'wa-order',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component: () =&gt; import('@/views/integral-external/wa-order/index'),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name: 'IntegralExternalWaOrder',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meta: { title: '寄卖订单' },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},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整个 integralExternalRouter 的 hidden: true 已存在，所有 integral-external 子页面默认不在菜单显示，由运营通过链接 / 收藏夹访问。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七、页面整体结构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单文件 index.vue 由四个区域组成（自上而下）：搜索筛选区、操作按钮区、表格主体区、详情抽屉区。整体延续 integral-external/order/index.vue 的视觉风格（divBox + el-card + 顶部状态 radio-group + 时间快捷按钮），并新增列控制弹层。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7.1 顶部搜索区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订单状态：el-radio-group，按钮形式；新增 all / unPaid / paid / complete / cancel 等取值，前端转换为后端 status / isCancel 组合。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时间维度：保留 today / yesterday / lately7 / lately30 / month / year 快捷按钮，并提供 daterange 自定义；时间字段维度由「时间字段」下拉切换：抢购时间(buyTime)、支付时间(payTime)、确认时间(confirmTime)、创建时间(createdAt)。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订单号：el-input + 回车搜索；模糊匹配 orderSn。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买家：el-input，输入 buyerId 或买家昵称（数字优先映射到 buyerId）。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卖家：同上，sellerId；提供「仅看平台单（sellerId=0）」复选。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转拍：el-select，全部 / 是 / 否；映射 isResell。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使用 el-form size="small" + label-width="100px"，并通过 collapse 展开收起辅助筛选项，默认折叠。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7.2 操作按钮区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「列设置」按钮：点击弹出 el-popover，含 el-checkbox-group，用于自定义表头字段。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「重置筛选」按钮：恢复 tableFrom 初始值并重新查询。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「导出」按钮（前端 csv，可选）：依据当前结果集生成。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外部页面不带登录态，因此不做 v-hasPermi 控制；任何按钮均直接渲染。「显示/隐藏」「取消订单」等写按钮在本期默认不展示，详见第十章「写操作处理」。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7.3 表格主体区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使用 el-table，size="mini"，highlight-current-row；外层包裹 el-card class="box-card mt10"。表格列通过 v-if="visibleColumns.includes(col.prop)" 动态渲染，并在末尾固定「操作」列（fixed="right"）。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7.4 详情抽屉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使用 el-drawer，title="寄卖订单详情"，direction="rtl"，size="640px"，append-to-body。结构如下：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顶部：订单号 + 状态徽标（el-tag）+ 是否转拍标签 + 是否取消标签；右侧放「关闭」与「复制订单号」。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订单基础信息：el-descriptions :column="2" border。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时间链路：el-steps（finish / process / wait）按 buyTime → payTime → confirmTime 渲染。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买家信息：买家 ID、昵称、手机号（可选脱敏）、收货人、收货电话、省/市/区/详细地址。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卖家信息：卖家 ID（0 显示「平台」）、昵称；如来自转拍则显示「原订单 ID」并提供跳转。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商品信息：商品图片（el-image 缩略 + 预览）、标题、寄售价格、商品状态、关联 oldId。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支付信息：支付时间、支付凭证（el-image 预览）、下单 IP、取消 IP（仅 isCancel=1 时显示）。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管理操作：本期默认不渲染；如启用，详见第十章。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八、列表字段与可选列设置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8.1 字段总览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900"/>
        <w:gridCol w:w="900"/>
        <w:gridCol w:w="700"/>
        <w:gridCol w:w="38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prop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中文名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宽度(px)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默认显示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锁定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订单ID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80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主键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orderSn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订单号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210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支持复制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merchandiseTitle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商品名称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240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图文展示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totalMoney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订单金额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110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￥ + 金额；右对齐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statusStr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订单状态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110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徽标显示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isResell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是否转拍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90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 / 否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buyerName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买家昵称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120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buyerId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买家ID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90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sellerName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卖家昵称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120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sellerId=0 显示「平台」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sellerId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卖家ID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90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consignee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收货人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100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phone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收货电话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120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可选 phoneDesensitize 过滤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areaText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收货地区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180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省/市/区拼接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address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详细地址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200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tooltip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buyTime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抢购时间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默认排序键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createdAt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转拍/创建时间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isResell=1 时标注「转拍时间」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payTime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支付时间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confirmTime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完成时间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updatedAt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更新时间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buyIp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下单IP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130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cancelIp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取消IP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130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isShow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显示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80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只读展示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actions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操作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160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3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详情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8.2 列设置交互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「列设置」按钮放在表格上方右侧，点击展开 el-popover，宽 280px。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使用 el-checkbox-group 双列布局，全选 / 反选 / 重置默认 三个快捷按钮。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锁定列在 checkbox 上 disabled，并加 tooltip「该列不可隐藏」。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用户偏好持久化到 localStorage，key=`waOrderColumns:external`（外部页面无 userId，使用固定后缀）；回填时与「最新字段定义」做交集，避免新增/废弃字段后报错。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8.3 实现要点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data() 中维护 columnsConfig（全部字段元数据）与 visibleColumns（当前勾选 prop 数组）。模板循环渲染：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&lt;template v-for="col in columnsConfig"&gt;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&lt;el-table-column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v-if="visibleColumns.includes(col.prop) &amp;&amp; col.prop !== 'actions'"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:key="col.prop"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:prop="col.prop"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:label="col.label"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:min-width="col.width"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:show-overflow-tooltip="col.tooltip"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&lt;template slot-scope="scope"&gt;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{{ formatCell(col.prop, scope.row) }}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&lt;/template&gt;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&lt;/el-table-column&gt;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&lt;/template&gt;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九、详情抽屉实现细节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9.1 触发方式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在「操作」列「详情」按钮点击时调用 openDetail(row.id)。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支持 URL query 参数 ?detailId=xxx 自动打开抽屉，便于消息通知跳转。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已完成订单（status=2）打开抽屉时仅展示信息，不渲染管理操作按钮。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9.2 数据加载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调用 getExternalWaOrderInfo(id)，loading 用 v-loading 绑定到 el-drawer 内部容器。失败 toast「订单详情加载失败」，并保持抽屉关闭。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9.3 展示骨架（伪代码）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&lt;el-drawer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:visible.sync="drawerVisible"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title="寄卖订单详情"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direction="rtl"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size="640px"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:destroy-on-close="true"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append-to-body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&lt;div v-loading="detailLoading" class="order-drawer"&gt;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&lt;div class="drawer-summary"&gt;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&lt;span class="order-sn"&gt;{{ detail.orderSn }}&lt;/span&gt;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&lt;el-tag :type="statusTagType(detail.status)" size="small"&gt;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{{ statusLabel(detail) }}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&lt;/el-tag&gt;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&lt;el-tag v-if="detail.isResell === 1" type="warning" size="small"&gt;转拍&lt;/el-tag&gt;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&lt;el-tag v-if="detail.isCancel === 1" type="danger" size="small"&gt;已取消&lt;/el-tag&gt;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&lt;/div&gt;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&lt;el-steps :active="stepActive(detail)" finish-status="success" simple&gt;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&lt;el-step title="抢购下单" :description="detail.buyTime || '-'"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&lt;el-step v-if="detail.isResell === 1" title="转拍生成" :description="detail.createdAt || '-'"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&lt;el-step title="支付" :description="detail.payTime || '-'"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&lt;el-step title="完成" :description="detail.confirmTime || '-'"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&lt;/el-steps&gt;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&lt;el-descriptions :column="2" border&gt;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&lt;!-- 字段渲染略，详见 8.1 --&gt;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&lt;/el-descriptions&gt;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&lt;/div&gt;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&lt;div slot="footer" class="drawer-footer"&gt;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&lt;el-button @click="drawerVisible = false"&gt;关 闭&lt;/el-button&gt;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&lt;/div&gt;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&lt;/el-drawer&gt;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9.4 关闭与销毁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使用 :destroy-on-close="true" 防止下次打开时残留旧数据。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关闭时清空 detail 与 detailLoading；同时移除 URL 上的 detailId 查询参数。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十、状态字段映射与展示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3000"/>
        <w:gridCol w:w="33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UI 状态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颜色 / Tag 类型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匹配条件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待付款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warning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isCancel=0 且 status=0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初始状态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已支付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primary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isCancel=0 且 status=1 且 confirmTime 为空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已付款待收货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交易完成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success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isCancel=0 且 status=2 且 confirmTime 不为空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订单结束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已取消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info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isCancel=1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走 cancelIp / updatedAt 时间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转拍中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warning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isResell=1 且 status=0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转拍下单尚未付款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过滤函数：在 src/filters/index.js 中追加 phoneDesensitize（如已存在则复用），用于 phone 字段脱敏。地区拼接使用计算属性 areaText = (province + city + area) || "-"。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十一、写操作处理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外部免认证页面默认只读。如需保留「显示/隐藏」「取消订单」等写操作，给出两套方案：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方案 A（推荐）：写操作仍走 admin 路由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外部页面只查；写按钮点击时使用 src/utils/request.js（带 token 的 admin 实例）调用现有 /api/admin/order/update 接口。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如未登录后台，弹窗提示「请先登录管理后台再操作」并打开 /login 新标签。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优点：写权限受现有权限矩阵保护；与 admin 端操作链路一致。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方案 B：写操作也提供外部接口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在 ExternalIntegralController 增加 POST /wa-order/update。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强制启用第十二章「IP 白名单 + 共享密钥」组合；操作日志写入 wa_admin_log（操作员=external/&lt;ip&gt;）。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缺点：放大攻击面；仅在内网部署或网关已加固时使用。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十二、安全与访问控制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外部免认证接口绕过登录；上线前必须至少完成一项加固。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300"/>
        <w:gridCol w:w="16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加固方式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推荐度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IP 白名单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在反代层对 location /api/external/integral/ 限制运营公司外网 IP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共享密钥 Header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前后端约定固定 X-External-Token；前端在 requestNoAuth 拦截器内固定注入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一次性签名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ts + uid + secret 计算 HMAC，后端校验时间窗 ±5min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内网部署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admin 端只部署内网；外网走专线/VPN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BasicAuth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location 加 auth_basic（共享账号）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十三、测试要点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13.1 列表 / 筛选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订单号模糊查询：输入完整或部分 orderSn 都能命中。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买家 / 卖家 ID：传 0 校验「平台」单展示。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时间维度切换：分别使用 buyTime、payTime、confirmTime 维度，验证传给后端的 *Start / *End 字段正确。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分页：limit 切换 15 / 30 / 45 / 60；翻页后 detailId 不应错乱。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13.2 列设置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勾选 / 取消任意可控字段，刷新页面后偏好仍生效。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localStorage 内存在不再使用的 prop 时不报错（向后兼容）。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锁定列（id、orderSn、actions）始终展示且无法取消。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13.3 详情抽屉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数据完整加载：买家、卖家、商品、地址、时间链路均显示。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转拍订单：oldId 显示并可跳转原订单详情（同抽屉切换数据）。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已取消订单：cancelIp 与「已取消」徽标显示。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已完成订单：时间链路 4 个步骤全部 success。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13.4 集成与安全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未登录浏览器直接访问 /integral-external/wa-order：页面正常加载，不跳登录。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curl 直接调用 /api/external/integral/wa-order/list：返回 200。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启用 IP 白名单后，外部 IP 返回 403。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十四、风险与扩展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后端 status 仅有 0/1/2 三态，UI 期望区分「待收货 / 已完成」，应使用 confirmTime 是否存在再判定。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isCancel 与 status 之间在历史数据中可能存在不一致，UI 优先以 isCancel=1 展示「已取消」。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买家 / 卖家昵称的填充由 Service 中循环 select 得到；单页 60 条订单可能产生 120 次 SQL，必要时改批量 IN 查询。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转拍链路（oldId）目前只能往上追溯一级；若产品支持多级转拍，应在抽屉中以 el-collapse 展示完整链表。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十五、交付清单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类别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 / 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前端组件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backend-adminend/src/views/integral-external/wa-order/index.vue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backend-adminend/src/api/integralExternal.js（追加两个方法）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路由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backend-adminend/src/router/modules/integralExternal.js（追加 wa-order 节点）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Controller 改动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crmeb-admin: ExternalIntegralController.java（追加 /wa-order/list、/wa-order/info）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Service / DAO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复用 WaOrderAdminService（仅读路径），无需改动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Request / Response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复用 WaOrderSearchRequest / WaOrderResponse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Spring Security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已通配 /api/external/integral/** ，无需改动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网关 / Nginx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部署侧补充 IP 白名单与共享密钥 Header 校验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测试用例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tests/unit/views/integral-external/wa-order.spec.js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文档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本文档归档至 docs/dev/wa_order_external.md</w:t>
            </w:r>
          </w:p>
        </w:tc>
      </w:tr>
    </w:tbl>
    <w:p>
      <w:pPr>
        <w:spacing w:after="60" w:before="60" w:line="320"/>
        <w:jc w:val="center"/>
      </w:pPr>
      <w:r>
        <w:rPr>
          <w:rFonts w:ascii="微软雅黑" w:cs="微软雅黑" w:eastAsia="微软雅黑" w:hAnsi="微软雅黑"/>
          <w:b w:val="false"/>
          <w:bCs w:val="false"/>
          <w:color w:val="888888"/>
          <w:sz w:val="22"/>
          <w:szCs w:val="22"/>
        </w:rPr>
        <w:t xml:space="preserve">— 文档结束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微软雅黑" w:cs="微软雅黑" w:eastAsia="微软雅黑" w:hAnsi="微软雅黑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微软雅黑" w:cs="微软雅黑" w:eastAsia="微软雅黑" w:hAnsi="微软雅黑"/>
      <w:b/>
      <w:bCs/>
      <w:color w:val="2E75B6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40" w:before="220"/>
      <w:outlineLvl w:val="2"/>
    </w:pPr>
    <w:rPr>
      <w:rFonts w:ascii="微软雅黑" w:cs="微软雅黑" w:eastAsia="微软雅黑" w:hAnsi="微软雅黑"/>
      <w:b/>
      <w:bCs/>
      <w:color w:val="40404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寄卖订单管理（wa_order）开发说明文档（外部免认证版）</dc:title>
  <dc:creator>Claude</dc:creator>
  <cp:lastModifiedBy>Un-named</cp:lastModifiedBy>
  <cp:revision>1</cp:revision>
  <dcterms:created xsi:type="dcterms:W3CDTF">2026-05-01T20:04:31.352Z</dcterms:created>
  <dcterms:modified xsi:type="dcterms:W3CDTF">2026-05-01T20:04:31.352Z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